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1DF" w:rsidRDefault="00AA61DF" w:rsidP="00AA61DF">
      <w:pPr>
        <w:pStyle w:val="a3"/>
        <w:spacing w:before="0" w:beforeAutospacing="0" w:after="0" w:afterAutospacing="0" w:line="288" w:lineRule="atLeast"/>
        <w:jc w:val="both"/>
      </w:pPr>
      <w:r>
        <w:t>Постановление Правительства Мурманской области от 13.08.2021 N 564-ПП</w:t>
      </w:r>
    </w:p>
    <w:p w:rsidR="00AA61DF" w:rsidRDefault="00AA61DF" w:rsidP="00AA61DF">
      <w:pPr>
        <w:pStyle w:val="a3"/>
        <w:spacing w:before="0" w:beforeAutospacing="0" w:after="0" w:afterAutospacing="0" w:line="288" w:lineRule="atLeast"/>
        <w:jc w:val="both"/>
      </w:pPr>
      <w:r>
        <w:t xml:space="preserve">(ред. от 05.09.2025) </w:t>
      </w:r>
    </w:p>
    <w:p w:rsidR="00AA61DF" w:rsidRDefault="00AA61DF" w:rsidP="00AA61DF">
      <w:pPr>
        <w:pStyle w:val="a3"/>
        <w:spacing w:before="0" w:beforeAutospacing="0" w:after="0" w:afterAutospacing="0" w:line="288" w:lineRule="atLeast"/>
        <w:jc w:val="both"/>
      </w:pPr>
      <w:r>
        <w:t xml:space="preserve">"Об утверждении государственной программы Мурманской области "Транспортная система" и внесении изменений в государственную программу Мурманской области "Развитие транспортной системы" </w:t>
      </w:r>
    </w:p>
    <w:p w:rsidR="00AA61DF" w:rsidRDefault="00AA61DF">
      <w:pPr>
        <w:pStyle w:val="ConsPlusNormal"/>
        <w:jc w:val="right"/>
        <w:outlineLvl w:val="0"/>
      </w:pPr>
      <w:bookmarkStart w:id="0" w:name="_GoBack"/>
      <w:bookmarkEnd w:id="0"/>
    </w:p>
    <w:p w:rsidR="00AA61DF" w:rsidRDefault="00AA61DF">
      <w:pPr>
        <w:pStyle w:val="ConsPlusNormal"/>
        <w:jc w:val="right"/>
        <w:outlineLvl w:val="0"/>
      </w:pPr>
    </w:p>
    <w:p w:rsidR="00A85CF2" w:rsidRDefault="00AA61DF">
      <w:pPr>
        <w:pStyle w:val="ConsPlusNormal"/>
        <w:jc w:val="right"/>
        <w:outlineLvl w:val="0"/>
      </w:pPr>
      <w:r>
        <w:t>Приложение N 5</w:t>
      </w:r>
    </w:p>
    <w:p w:rsidR="00A85CF2" w:rsidRDefault="00AA61DF">
      <w:pPr>
        <w:pStyle w:val="ConsPlusNormal"/>
        <w:jc w:val="right"/>
      </w:pPr>
      <w:r>
        <w:t>к Программе</w:t>
      </w:r>
    </w:p>
    <w:p w:rsidR="00A85CF2" w:rsidRDefault="00A85CF2">
      <w:pPr>
        <w:pStyle w:val="ConsPlusNormal"/>
        <w:jc w:val="both"/>
      </w:pPr>
    </w:p>
    <w:p w:rsidR="00A85CF2" w:rsidRDefault="00AA61DF">
      <w:pPr>
        <w:pStyle w:val="ConsPlusTitle"/>
        <w:jc w:val="center"/>
      </w:pPr>
      <w:r>
        <w:t>ПРАВИЛА</w:t>
      </w:r>
    </w:p>
    <w:p w:rsidR="00A85CF2" w:rsidRDefault="00AA61DF">
      <w:pPr>
        <w:pStyle w:val="ConsPlusTitle"/>
        <w:jc w:val="center"/>
      </w:pPr>
      <w:r>
        <w:t>ПРЕДОСТАВЛЕНИЯ И РАСПРЕДЕЛЕНИЯ ИНЫХ МЕЖБЮДЖЕТНЫХ ТРАНСФЕРТОВ</w:t>
      </w:r>
    </w:p>
    <w:p w:rsidR="00A85CF2" w:rsidRDefault="00AA61DF">
      <w:pPr>
        <w:pStyle w:val="ConsPlusTitle"/>
        <w:jc w:val="center"/>
      </w:pPr>
      <w:r>
        <w:t>ИЗ ОБЛАСТНОГО БЮДЖЕТА МЕСТНЫМ БЮДЖЕТАМ НА РАЗРАБОТКУ</w:t>
      </w:r>
    </w:p>
    <w:p w:rsidR="00A85CF2" w:rsidRDefault="00AA61DF">
      <w:pPr>
        <w:pStyle w:val="ConsPlusTitle"/>
        <w:jc w:val="center"/>
      </w:pPr>
      <w:r>
        <w:t>ПРОЕКТНОЙ ДОКУМЕНТАЦИИ ПО СТРОИТЕЛЬСТВУ, РЕКОНСТРУКЦИИ</w:t>
      </w:r>
    </w:p>
    <w:p w:rsidR="00A85CF2" w:rsidRDefault="00AA61DF">
      <w:pPr>
        <w:pStyle w:val="ConsPlusTitle"/>
        <w:jc w:val="center"/>
      </w:pPr>
      <w:r>
        <w:t>И КАПИТАЛЬНОМУ РЕМОНТУ АВТОМОБИЛЬНЫХ ДОРОГ МЕСТНОГО ЗНАЧЕНИЯ</w:t>
      </w:r>
    </w:p>
    <w:p w:rsidR="00A85CF2" w:rsidRDefault="00AA61DF">
      <w:pPr>
        <w:pStyle w:val="ConsPlusTitle"/>
        <w:jc w:val="center"/>
      </w:pPr>
      <w:r>
        <w:t>И ИСКУССТВЕННЫХ ДОРОЖНЫХ СООРУЖЕНИЙ НА НИХ ЗА СЧЕТ СРЕДСТВ</w:t>
      </w:r>
    </w:p>
    <w:p w:rsidR="00A85CF2" w:rsidRDefault="00AA61DF">
      <w:pPr>
        <w:pStyle w:val="ConsPlusTitle"/>
        <w:jc w:val="center"/>
      </w:pPr>
      <w:r>
        <w:t>ДОРОЖНОГО ФОНДА (НА КОНКУРСНОЙ ОСНОВЕ)</w:t>
      </w:r>
    </w:p>
    <w:p w:rsidR="00A85CF2" w:rsidRDefault="00A85CF2">
      <w:pPr>
        <w:pStyle w:val="ConsPlusNormal"/>
        <w:jc w:val="both"/>
      </w:pPr>
    </w:p>
    <w:p w:rsidR="00A85CF2" w:rsidRDefault="00AA61DF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устанавливают цели, условия и порядок предоставления, распределения иных ме</w:t>
      </w:r>
      <w:r>
        <w:t>жбюджетных трансфертов из областного бюджета местным бюджетам Мурманской области (далее - муниципальные образования) на разработку проектной документации по строительству, реконструкции и капитальному ремонту автомобильных дорог местного значения и искусст</w:t>
      </w:r>
      <w:r>
        <w:t>венных дорожных сооружений на них за счет средств дорожного фонда (на конкурсной основе) (далее - иные межбюджетные трансферты).</w:t>
      </w:r>
      <w:proofErr w:type="gramEnd"/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В настоящих Правилах используются основные термины и понятия "автомобильная дорога", "искусственные дорожные сооружения", "д</w:t>
      </w:r>
      <w:r>
        <w:t>орожная деятельность", "реконструкция автомобильной дороги", "капитальный ремонт автомобильной дороги" в соответствии со статьей 3 Федерального закона от 08.11.2007 N 257-ФЗ "Об автомобильных дорогах и о дорожной деятельности в Российской Федерации и о вне</w:t>
      </w:r>
      <w:r>
        <w:t>сении изменений в отдельные законодательные акты Российской Федерации".</w:t>
      </w:r>
      <w:proofErr w:type="gramEnd"/>
    </w:p>
    <w:p w:rsidR="00A85CF2" w:rsidRDefault="00AA61DF">
      <w:pPr>
        <w:pStyle w:val="ConsPlusNormal"/>
        <w:spacing w:before="240"/>
        <w:ind w:firstLine="540"/>
        <w:jc w:val="both"/>
      </w:pPr>
      <w:bookmarkStart w:id="1" w:name="P13"/>
      <w:bookmarkEnd w:id="1"/>
      <w:r>
        <w:t xml:space="preserve">3. </w:t>
      </w:r>
      <w:proofErr w:type="gramStart"/>
      <w:r>
        <w:t xml:space="preserve">Иные межбюджетные трансферты предоставляются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 муниципальных образований на разработку проектной документации по строительству, реконст</w:t>
      </w:r>
      <w:r>
        <w:t>рукции и капитальному ремонту автомобильных дорог общего пользования местного значения и искусственных дорожных сооружений на них (далее - расходные обязательства), в том числе при реализации Плана мероприятий по развитию жилищной, энергетической и социаль</w:t>
      </w:r>
      <w:r>
        <w:t>ной инфраструктуры закрытых административно-территориальных образований и населенных пунктов Арктической зоны Российской Федерации</w:t>
      </w:r>
      <w:proofErr w:type="gramEnd"/>
      <w:r>
        <w:t>, в которых дислоцированы воинские формирования, на 2024 - 2026 годы, утвержденного распоряжением Правительства Российской Фед</w:t>
      </w:r>
      <w:r>
        <w:t>ерации от 17.04.2024 N 962-р.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Уполномоченным органом по предоставлению, распределению иных межбюджетных трансфертов из областного бюджета местным бюджетам на разработку проектной документации по строительству, реконструкции и капитальному ремонту автомо</w:t>
      </w:r>
      <w:r>
        <w:t>бильных дорог местного значения и искусственных дорожных сооружений на них за счет средств дорожного фонда (на конкурсной основе) является Министерство транспорта и дорожного хозяйства Мурманской области (далее - Министерство, главный распорядитель средств</w:t>
      </w:r>
      <w:r>
        <w:t xml:space="preserve"> областного бюджета).</w:t>
      </w:r>
      <w:proofErr w:type="gramEnd"/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5. Иные межбюджетные трансферты предоставляются на финансовый год, соответствующий </w:t>
      </w:r>
      <w:r>
        <w:lastRenderedPageBreak/>
        <w:t xml:space="preserve">году проведения конкурсного отбора. </w:t>
      </w:r>
      <w:proofErr w:type="gramStart"/>
      <w:r>
        <w:t xml:space="preserve">В случае если на конкурс заявлен объект, реализация которого намечена на срок более одного года, </w:t>
      </w:r>
      <w:proofErr w:type="spellStart"/>
      <w:r>
        <w:t>софинансирование</w:t>
      </w:r>
      <w:proofErr w:type="spellEnd"/>
      <w:r>
        <w:t xml:space="preserve"> м</w:t>
      </w:r>
      <w:r>
        <w:t>ожет осуществляться в пределах бюджетных ассигнований, предусмотренных законом Мурманской области об областном бюджете (сводной бюджетной росписью областного бюджета) на текущий финансовый год и плановый период, и лимитов бюджетных обязательств, доведенных</w:t>
      </w:r>
      <w:r>
        <w:t xml:space="preserve"> Министерству как получателю средств областного бюджета на соответствующий финансовый год.</w:t>
      </w:r>
      <w:proofErr w:type="gramEnd"/>
    </w:p>
    <w:p w:rsidR="00A85CF2" w:rsidRDefault="00AA61DF">
      <w:pPr>
        <w:pStyle w:val="ConsPlusNormal"/>
        <w:spacing w:before="240"/>
        <w:ind w:firstLine="540"/>
        <w:jc w:val="both"/>
      </w:pPr>
      <w:bookmarkStart w:id="2" w:name="P16"/>
      <w:bookmarkEnd w:id="2"/>
      <w:r>
        <w:t>6. Условиями предоставления иных межбюджетных трансфертов муниципальным образованиям являются:</w:t>
      </w:r>
    </w:p>
    <w:p w:rsidR="00A85CF2" w:rsidRDefault="00AA61DF">
      <w:pPr>
        <w:pStyle w:val="ConsPlusNormal"/>
        <w:spacing w:before="240"/>
        <w:ind w:firstLine="540"/>
        <w:jc w:val="both"/>
      </w:pPr>
      <w:proofErr w:type="gramStart"/>
      <w:r>
        <w:t>а) наличие муниципального дорожного фонда;</w:t>
      </w:r>
      <w:proofErr w:type="gramEnd"/>
    </w:p>
    <w:p w:rsidR="00A85CF2" w:rsidRDefault="00AA61DF">
      <w:pPr>
        <w:pStyle w:val="ConsPlusNormal"/>
        <w:spacing w:before="240"/>
        <w:ind w:firstLine="540"/>
        <w:jc w:val="both"/>
      </w:pPr>
      <w:proofErr w:type="gramStart"/>
      <w:r>
        <w:t>б) наличие в утвержденных о</w:t>
      </w:r>
      <w:r>
        <w:t xml:space="preserve">рганами местного самоуправления программах мероприятий по разработке проектной документации по строительству, реконструкции и капитальному ремонту автомобильных дорог общего пользования местного значения и искусственных дорожных сооружений на них, в целях </w:t>
      </w:r>
      <w:proofErr w:type="spellStart"/>
      <w:r>
        <w:t>софинансирования</w:t>
      </w:r>
      <w:proofErr w:type="spellEnd"/>
      <w:r>
        <w:t xml:space="preserve"> которых предоставляется иной межбюджетный трансферт;</w:t>
      </w:r>
      <w:proofErr w:type="gramEnd"/>
    </w:p>
    <w:p w:rsidR="00A85CF2" w:rsidRDefault="00AA61DF">
      <w:pPr>
        <w:pStyle w:val="ConsPlusNormal"/>
        <w:spacing w:before="240"/>
        <w:ind w:firstLine="540"/>
        <w:jc w:val="both"/>
      </w:pPr>
      <w:r>
        <w:t>в) наличие утвержденного органами местного самоуправления перечня автомобильных дорог общего пользования местного значения;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г) наличие отчета (заключения) по обследованию автомобильной д</w:t>
      </w:r>
      <w:r>
        <w:t>ороги и/или искусственных дорожных сооружений на них с заключением о необходимости проведения работ по реконструкции или капитальному ремонту;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д) наличие паспорта автомобильной дороги и искусственного дорожного сооружения (условие не распространяется на ме</w:t>
      </w:r>
      <w:r>
        <w:t>роприятия, направленные на разработку проектной документации по строительству автомобильных дорог местного значения или искусственных дорожных сооружений);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е) заключение соглашения о предоставлении иных межбюджетных трансфертов из областного бюджета местно</w:t>
      </w:r>
      <w:r>
        <w:t xml:space="preserve">му бюджету (далее - соглашение), предусматривающего обязательства муниципального образования по исполнению расходных обязательств, на </w:t>
      </w:r>
      <w:proofErr w:type="spellStart"/>
      <w:r>
        <w:t>софинансирование</w:t>
      </w:r>
      <w:proofErr w:type="spellEnd"/>
      <w:r>
        <w:t xml:space="preserve"> которых предоставляются иные межбюджетные трансферты, и ответственность за невыполнение предусмотренных у</w:t>
      </w:r>
      <w:r>
        <w:t>казанным соглашением обязательств.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7. </w:t>
      </w:r>
      <w:proofErr w:type="gramStart"/>
      <w:r>
        <w:t>Если за счет средств иных межбюджетных трансфертов муниципальными заказчиками, муниципальными бюджетными учреждениями, муниципальными унитарными предприятиями осуществляются закупки товаров, работ, услуг открытыми конк</w:t>
      </w:r>
      <w:r>
        <w:t>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частью 7 статьи 26 Федерального закона от 05.04.2013 N 44-ФЗ "О контрак</w:t>
      </w:r>
      <w:r>
        <w:t>тной системе в сфере закупок товаров, работ, услуг для обеспечения</w:t>
      </w:r>
      <w:proofErr w:type="gramEnd"/>
      <w:r>
        <w:t xml:space="preserve"> государственных и муниципальных нужд" (далее - Закон N 44-ФЗ), и определение поставщиков (подрядчиков, исполнителей) осуществляется уполномоченным органом, уполномоченным учреждением, полно</w:t>
      </w:r>
      <w:r>
        <w:t>мочия которого определены решением Правительства Мурманской области.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8. Организатором конкурса по предоставлению иных межбюджетных трансфертов (далее - конкурс) является Министерство, которое осуществляет: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а) объявление даты проведения конкурса;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lastRenderedPageBreak/>
        <w:t>б) определение дат приема и рассмотрения конкурсных заявок;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в) прием заявок с документами, указанными в </w:t>
      </w:r>
      <w:hyperlink w:anchor="P34" w:tooltip="11. Муниципальные образования, претендующие на получение иных межбюджетных трансфертов, в составе конкурсной заявки представляют следующие документы:">
        <w:r>
          <w:rPr>
            <w:color w:val="0000FF"/>
          </w:rPr>
          <w:t>пункте 11</w:t>
        </w:r>
      </w:hyperlink>
      <w:r>
        <w:t xml:space="preserve"> настоящих Правил, и их регистрацию;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г) принятие решений о допуске претендентов к участию в конкурсе;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д) проверку соответствия заявок конкурсным требованиям, систематизацию, учет и хранение конкурсной документации в те</w:t>
      </w:r>
      <w:r>
        <w:t>чение трех лет;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е) распределение иных межбюджетных трансфертов по итогам рассмотрения допущенных к конкурсу заявок.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Извещение о проведении процедуры распределения иных межбюджетных трансфертов публикуется на официальном сайте Министерства.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9. Состав конкур</w:t>
      </w:r>
      <w:r>
        <w:t>сной комиссии и регламент ее работы утверждаются приказом Министерства.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10. Решение о предоставлении иных межбюджетных трансфертов принимается конкурсной комиссией по итогам оценки конкурсных заявок муниципальных образований.</w:t>
      </w:r>
    </w:p>
    <w:p w:rsidR="00A85CF2" w:rsidRDefault="00AA61DF">
      <w:pPr>
        <w:pStyle w:val="ConsPlusNormal"/>
        <w:spacing w:before="240"/>
        <w:ind w:firstLine="540"/>
        <w:jc w:val="both"/>
      </w:pPr>
      <w:bookmarkStart w:id="3" w:name="P34"/>
      <w:bookmarkEnd w:id="3"/>
      <w:r>
        <w:t>11. Муниципальные образования,</w:t>
      </w:r>
      <w:r>
        <w:t xml:space="preserve"> претендующие на получение иных межбюджетных трансфертов, в составе конкурсной заявки представляют следующие документы: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а) заверенные копии утвержденных в установленном порядке муниципальных программ, соответствующих целям предоставления иных межбюджетных </w:t>
      </w:r>
      <w:r>
        <w:t xml:space="preserve">трансфертов, установленным </w:t>
      </w:r>
      <w:hyperlink w:anchor="P13" w:tooltip="3. Иные межбюджетные трансферты предоставляются в целях софинансирования расходных обязательств муниципальных образований на разработку проектной документации по строительству, реконструкции и капитальному ремонту автомобильных дорог общего пользования местног">
        <w:r>
          <w:rPr>
            <w:color w:val="0000FF"/>
          </w:rPr>
          <w:t>пунктом 3</w:t>
        </w:r>
      </w:hyperlink>
      <w:r>
        <w:t xml:space="preserve"> настоящих Правил;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б) заверенную копию утвержденного органами местного самоуправления перечня автомобильных дорог общего пользования местного значения (не предоставляется при подаче за</w:t>
      </w:r>
      <w:r>
        <w:t>явок, направленных на реализацию мероприятий по разработке проектной документации по строительству автомобильных дорог местного значения);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в) заверенные копии научно-технических отчетов по обследованию автомобильных дорог и искусственных дорожных сооружени</w:t>
      </w:r>
      <w:r>
        <w:t>й с заключением о необходимости проведения работ по реконструкции или капитальному ремонту;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г) заверенные копии паспортов автомобильных дорог или искусственных дорожных сооружений (не предоставляются при подаче заявок, направленных на реализацию мероприяти</w:t>
      </w:r>
      <w:r>
        <w:t>й по разработке проектной документации по строительству автомобильных дорог местного значения или искусственных дорожных сооружений);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д) расчет начальной (максимальной) цены контракта с указанием источников финансирования;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е) наглядные материалы (в </w:t>
      </w:r>
      <w:proofErr w:type="spellStart"/>
      <w:r>
        <w:t>т.ч</w:t>
      </w:r>
      <w:proofErr w:type="spellEnd"/>
      <w:r>
        <w:t>. гр</w:t>
      </w:r>
      <w:r>
        <w:t>афические, фото), характеризующие состояние и расположение объекта;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ж) копии правоустанавливающих документов на земельный участок (в отношении объектов строительства);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lastRenderedPageBreak/>
        <w:t>з) пояснительную записку, характеризующую состояние объекта, в отношении работ по капита</w:t>
      </w:r>
      <w:r>
        <w:t>льному ремонту и реконструкции, а также обоснование необходимости строительства объекта в отношении работ по строительству с приложением документов (предписания ГИБДД, решения судов и т.п.) и обоснованием социальной значимости.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Подача конкурсных заявок и д</w:t>
      </w:r>
      <w:r>
        <w:t>опуск к конкурсу осуществляются в соответствии с настоящими Правилами.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Конкурсные заявки подаются в запечатанных конвертах (пакетах, коробках), вскрытие которых осуществляется конкурсной комиссией публично в один день, во время и в месте, указанные в извещении о проведении конкурса.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Претенденты, подавшие заявки на участие в к</w:t>
      </w:r>
      <w:r>
        <w:t>онкурсе, или их представители вправе присутствовать при вскрытии конвертов с заявками на участие в конкурсе. Присутствующие не вправе вмешиваться в работу конкурсной комиссии.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12. Уровень </w:t>
      </w:r>
      <w:proofErr w:type="spellStart"/>
      <w:r>
        <w:t>софинансирования</w:t>
      </w:r>
      <w:proofErr w:type="spellEnd"/>
      <w:r>
        <w:t xml:space="preserve"> реализации мероприятий за счет иных межбюджетных тр</w:t>
      </w:r>
      <w:r>
        <w:t>ансфертов устанавливается соглашением о предоставлении иных межбюджетных трансфертов.</w:t>
      </w:r>
    </w:p>
    <w:p w:rsidR="00A85CF2" w:rsidRDefault="00AA61DF">
      <w:pPr>
        <w:pStyle w:val="ConsPlusNormal"/>
        <w:spacing w:before="240"/>
        <w:ind w:firstLine="540"/>
        <w:jc w:val="both"/>
      </w:pPr>
      <w:bookmarkStart w:id="4" w:name="P47"/>
      <w:bookmarkEnd w:id="4"/>
      <w:r>
        <w:t>13. В целях определения победителей конкурса проводится балльная оценка по ниже перечисленным критериям отбора. Приоритетность и итоговый балл определяются по величине ко</w:t>
      </w:r>
      <w:r>
        <w:t>эффициента:</w:t>
      </w:r>
    </w:p>
    <w:p w:rsidR="00A85CF2" w:rsidRDefault="00A85CF2">
      <w:pPr>
        <w:pStyle w:val="ConsPlusNormal"/>
        <w:jc w:val="both"/>
      </w:pPr>
    </w:p>
    <w:p w:rsidR="00A85CF2" w:rsidRDefault="00AA61DF">
      <w:pPr>
        <w:pStyle w:val="ConsPlusNormal"/>
        <w:ind w:firstLine="540"/>
        <w:jc w:val="both"/>
      </w:pPr>
      <w:proofErr w:type="spellStart"/>
      <w:r>
        <w:t>Китог</w:t>
      </w:r>
      <w:proofErr w:type="spellEnd"/>
      <w:r>
        <w:t>. = К</w:t>
      </w:r>
      <w:proofErr w:type="gramStart"/>
      <w:r>
        <w:t>1</w:t>
      </w:r>
      <w:proofErr w:type="gramEnd"/>
      <w:r>
        <w:t xml:space="preserve"> + 2 x К2 + 2 x К3 + (1 - К4),</w:t>
      </w:r>
    </w:p>
    <w:p w:rsidR="00A85CF2" w:rsidRDefault="00A85CF2">
      <w:pPr>
        <w:pStyle w:val="ConsPlusNormal"/>
        <w:jc w:val="both"/>
      </w:pPr>
    </w:p>
    <w:p w:rsidR="00A85CF2" w:rsidRDefault="00AA61DF">
      <w:pPr>
        <w:pStyle w:val="ConsPlusNormal"/>
        <w:ind w:firstLine="540"/>
        <w:jc w:val="both"/>
      </w:pPr>
      <w:r>
        <w:t>учитывающего следующие критерии отбора (коэффициенты):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К</w:t>
      </w:r>
      <w:proofErr w:type="gramStart"/>
      <w:r>
        <w:t>1</w:t>
      </w:r>
      <w:proofErr w:type="gramEnd"/>
      <w:r>
        <w:t xml:space="preserve"> - ожидаемая социальная и экономическая эффективность;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К</w:t>
      </w:r>
      <w:proofErr w:type="gramStart"/>
      <w:r>
        <w:t>2</w:t>
      </w:r>
      <w:proofErr w:type="gramEnd"/>
      <w:r>
        <w:t xml:space="preserve"> - соответствие приоритетам социально-экономического развития Мурманской области, закрепленным в нормативных правовых актах Мурманской области;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К3 - объем участия муниципального образования Мурманской области в финансировании объекта;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К</w:t>
      </w:r>
      <w:proofErr w:type="gramStart"/>
      <w:r>
        <w:t>4</w:t>
      </w:r>
      <w:proofErr w:type="gramEnd"/>
      <w:r>
        <w:t xml:space="preserve"> - уровень расчет</w:t>
      </w:r>
      <w:r>
        <w:t xml:space="preserve">ной бюджетной обеспеченности муниципальных районов (городских округов) на текущий финансовый год, определенный в соответствии с Законом Мурманской области от 10.12.2007 N 916-01-ЗМО "О межбюджетных отношениях в Мурманской области" (для поселений, входящих </w:t>
      </w:r>
      <w:r>
        <w:t>в состав муниципального района, применяется уровень бюджетной обеспеченности соответствующего муниципального района).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Ранжирование победителей проводится по величине коэффициента </w:t>
      </w:r>
      <w:proofErr w:type="spellStart"/>
      <w:r>
        <w:t>Китог</w:t>
      </w:r>
      <w:proofErr w:type="spellEnd"/>
      <w:r>
        <w:t xml:space="preserve"> от наибольшего значения к </w:t>
      </w:r>
      <w:proofErr w:type="gramStart"/>
      <w:r>
        <w:t>наименьшему</w:t>
      </w:r>
      <w:proofErr w:type="gramEnd"/>
      <w:r>
        <w:t>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В случае равенства баллов по вел</w:t>
      </w:r>
      <w:r>
        <w:t xml:space="preserve">ичине коэффициента </w:t>
      </w:r>
      <w:proofErr w:type="spellStart"/>
      <w:r>
        <w:t>Китог</w:t>
      </w:r>
      <w:proofErr w:type="spellEnd"/>
      <w:r>
        <w:t>. приоритет отдается муниципальному образованию, имеющему большую сумму баллов по коэффициентам К</w:t>
      </w:r>
      <w:proofErr w:type="gramStart"/>
      <w:r>
        <w:t>2</w:t>
      </w:r>
      <w:proofErr w:type="gramEnd"/>
      <w:r>
        <w:t xml:space="preserve"> и К3, а в случае равенства этих баллов приоритет отдается муниципальному образованию, имеющему большее значение коэффициента К1.</w:t>
      </w:r>
    </w:p>
    <w:p w:rsidR="00A85CF2" w:rsidRDefault="00AA61DF">
      <w:pPr>
        <w:pStyle w:val="ConsPlusNormal"/>
        <w:spacing w:before="240"/>
        <w:ind w:firstLine="540"/>
        <w:jc w:val="both"/>
      </w:pPr>
      <w:bookmarkStart w:id="5" w:name="P58"/>
      <w:bookmarkEnd w:id="5"/>
      <w:r>
        <w:t xml:space="preserve">14. </w:t>
      </w:r>
      <w:r>
        <w:t>Определение и расчет коэффициентов.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14.1. Ожидаемая социально-экономическая эффективность - К</w:t>
      </w:r>
      <w:proofErr w:type="gramStart"/>
      <w:r>
        <w:t>1</w:t>
      </w:r>
      <w:proofErr w:type="gramEnd"/>
      <w:r>
        <w:t>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lastRenderedPageBreak/>
        <w:t xml:space="preserve">Определяется путем суммирования баллов исходя из соответствия объекта следующим критериям (за каждое соответствие - 1 балл, за исключением </w:t>
      </w:r>
      <w:hyperlink w:anchor="P16" w:tooltip="6. Условиями предоставления иных межбюджетных трансфертов муниципальным образованиям являются:">
        <w:r>
          <w:rPr>
            <w:color w:val="0000FF"/>
          </w:rPr>
          <w:t>пункта 6</w:t>
        </w:r>
      </w:hyperlink>
      <w:r>
        <w:t>):</w:t>
      </w:r>
    </w:p>
    <w:p w:rsidR="00A85CF2" w:rsidRDefault="00A85CF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7597"/>
        <w:gridCol w:w="850"/>
      </w:tblGrid>
      <w:tr w:rsidR="00A85CF2">
        <w:tc>
          <w:tcPr>
            <w:tcW w:w="567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Критерий</w:t>
            </w:r>
          </w:p>
        </w:tc>
        <w:tc>
          <w:tcPr>
            <w:tcW w:w="850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Баллы</w:t>
            </w:r>
          </w:p>
        </w:tc>
      </w:tr>
      <w:tr w:rsidR="00A85CF2">
        <w:tc>
          <w:tcPr>
            <w:tcW w:w="567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597" w:type="dxa"/>
          </w:tcPr>
          <w:p w:rsidR="00A85CF2" w:rsidRDefault="00AA61DF">
            <w:pPr>
              <w:pStyle w:val="ConsPlusNormal"/>
            </w:pPr>
            <w:r>
              <w:t>Мероприятие направлено на сохранение и улучшение транспортно-эксплуатационного состояния улично-дорожной сети, имеющей особую социальную значимость:</w:t>
            </w:r>
          </w:p>
          <w:p w:rsidR="00A85CF2" w:rsidRDefault="00AA61DF">
            <w:pPr>
              <w:pStyle w:val="ConsPlusNormal"/>
            </w:pPr>
            <w:r>
              <w:t>- подъезды к объектам социальной инфраструктуры (школы, больницы, детские сады, спортивные комплексы, кладб</w:t>
            </w:r>
            <w:r>
              <w:t>ища);</w:t>
            </w:r>
          </w:p>
          <w:p w:rsidR="00A85CF2" w:rsidRDefault="00AA61DF">
            <w:pPr>
              <w:pStyle w:val="ConsPlusNormal"/>
            </w:pPr>
            <w:r>
              <w:t>- подъезды к жилым микрорайонам, в том числе строящимся;</w:t>
            </w:r>
          </w:p>
          <w:p w:rsidR="00A85CF2" w:rsidRDefault="00AA61DF">
            <w:pPr>
              <w:pStyle w:val="ConsPlusNormal"/>
            </w:pPr>
            <w:r>
              <w:t>- подъезды к местам нахождения федеральных, региональных и муниципальных организаций, предприятий и учреждений, осуществляющих предоставление услуг населению</w:t>
            </w:r>
          </w:p>
        </w:tc>
        <w:tc>
          <w:tcPr>
            <w:tcW w:w="850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1</w:t>
            </w:r>
          </w:p>
        </w:tc>
      </w:tr>
      <w:tr w:rsidR="00A85CF2">
        <w:tc>
          <w:tcPr>
            <w:tcW w:w="567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597" w:type="dxa"/>
          </w:tcPr>
          <w:p w:rsidR="00A85CF2" w:rsidRDefault="00AA61DF">
            <w:pPr>
              <w:pStyle w:val="ConsPlusNormal"/>
            </w:pPr>
            <w:r>
              <w:t>Мероприятие направлено на сохранение и улучшение транспортно-эксплуатационного состояния магистральных улиц, главных сельских улиц, улиц с транзитным движением транспорта, не имеющих альтернативы</w:t>
            </w:r>
          </w:p>
        </w:tc>
        <w:tc>
          <w:tcPr>
            <w:tcW w:w="850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1</w:t>
            </w:r>
          </w:p>
        </w:tc>
      </w:tr>
      <w:tr w:rsidR="00A85CF2">
        <w:tc>
          <w:tcPr>
            <w:tcW w:w="567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597" w:type="dxa"/>
          </w:tcPr>
          <w:p w:rsidR="00A85CF2" w:rsidRDefault="00AA61DF">
            <w:pPr>
              <w:pStyle w:val="ConsPlusNormal"/>
            </w:pPr>
            <w:r>
              <w:t>Мероприятие направлено на обеспечение безопасности доро</w:t>
            </w:r>
            <w:r>
              <w:t>жного движения:</w:t>
            </w:r>
          </w:p>
          <w:p w:rsidR="00A85CF2" w:rsidRDefault="00AA61DF">
            <w:pPr>
              <w:pStyle w:val="ConsPlusNormal"/>
            </w:pPr>
            <w:r>
              <w:t>имеются предписания ГИБДД и решения суда об устранении аварийного состояния объекта дорожного хозяйства:</w:t>
            </w:r>
          </w:p>
          <w:p w:rsidR="00A85CF2" w:rsidRDefault="00AA61DF">
            <w:pPr>
              <w:pStyle w:val="ConsPlusNormal"/>
            </w:pPr>
            <w:r>
              <w:t>- с наличием на объекте значительных дефектов покрытия проезжей части;</w:t>
            </w:r>
          </w:p>
          <w:p w:rsidR="00A85CF2" w:rsidRDefault="00AA61DF">
            <w:pPr>
              <w:pStyle w:val="ConsPlusNormal"/>
            </w:pPr>
            <w:r>
              <w:t>- отсутствием технических средств организации дорожного движения</w:t>
            </w:r>
            <w:r>
              <w:t>;</w:t>
            </w:r>
          </w:p>
          <w:p w:rsidR="00A85CF2" w:rsidRDefault="00AA61DF">
            <w:pPr>
              <w:pStyle w:val="ConsPlusNormal"/>
            </w:pPr>
            <w:r>
              <w:t>- наличием участков концентрации дорожно-транспортных происшествий</w:t>
            </w:r>
          </w:p>
        </w:tc>
        <w:tc>
          <w:tcPr>
            <w:tcW w:w="850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1</w:t>
            </w:r>
          </w:p>
        </w:tc>
      </w:tr>
      <w:tr w:rsidR="00A85CF2">
        <w:tc>
          <w:tcPr>
            <w:tcW w:w="567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597" w:type="dxa"/>
          </w:tcPr>
          <w:p w:rsidR="00A85CF2" w:rsidRDefault="00AA61DF">
            <w:pPr>
              <w:pStyle w:val="ConsPlusNormal"/>
            </w:pPr>
            <w:r>
              <w:t>Объекты участвуют в подготовке к празднованию юбилейных дат со дня основания муниципального образования</w:t>
            </w:r>
          </w:p>
        </w:tc>
        <w:tc>
          <w:tcPr>
            <w:tcW w:w="850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1</w:t>
            </w:r>
          </w:p>
        </w:tc>
      </w:tr>
      <w:tr w:rsidR="00A85CF2">
        <w:tc>
          <w:tcPr>
            <w:tcW w:w="567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597" w:type="dxa"/>
          </w:tcPr>
          <w:p w:rsidR="00A85CF2" w:rsidRDefault="00AA61DF">
            <w:pPr>
              <w:pStyle w:val="ConsPlusNormal"/>
            </w:pPr>
            <w:r>
              <w:t>Мероприятие направлено на сохранение и улучшение транспортно-эксплуатационного состояния улично-дорожной сети, имеющей особую социальную значимость, - подъезды к местам проведения публичных массовых мероприятий</w:t>
            </w:r>
          </w:p>
        </w:tc>
        <w:tc>
          <w:tcPr>
            <w:tcW w:w="850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1</w:t>
            </w:r>
          </w:p>
        </w:tc>
      </w:tr>
      <w:tr w:rsidR="00A85CF2">
        <w:tc>
          <w:tcPr>
            <w:tcW w:w="567" w:type="dxa"/>
            <w:vMerge w:val="restart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597" w:type="dxa"/>
            <w:tcBorders>
              <w:bottom w:val="nil"/>
            </w:tcBorders>
          </w:tcPr>
          <w:p w:rsidR="00A85CF2" w:rsidRDefault="00AA61DF">
            <w:pPr>
              <w:pStyle w:val="ConsPlusNormal"/>
            </w:pPr>
            <w:r>
              <w:t>Реализация мероприятия выполняется путем</w:t>
            </w:r>
            <w:r>
              <w:t>: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A85CF2" w:rsidRDefault="00A85CF2">
            <w:pPr>
              <w:pStyle w:val="ConsPlusNormal"/>
            </w:pPr>
          </w:p>
        </w:tc>
      </w:tr>
      <w:tr w:rsidR="00A85CF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A85CF2" w:rsidRDefault="00A85CF2">
            <w:pPr>
              <w:pStyle w:val="ConsPlusNormal"/>
            </w:pPr>
          </w:p>
        </w:tc>
        <w:tc>
          <w:tcPr>
            <w:tcW w:w="7597" w:type="dxa"/>
            <w:tcBorders>
              <w:top w:val="nil"/>
              <w:bottom w:val="nil"/>
            </w:tcBorders>
          </w:tcPr>
          <w:p w:rsidR="00A85CF2" w:rsidRDefault="00AA61DF">
            <w:pPr>
              <w:pStyle w:val="ConsPlusNormal"/>
            </w:pPr>
            <w:r>
              <w:t>- капитального ремонта;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0,75</w:t>
            </w:r>
          </w:p>
        </w:tc>
      </w:tr>
      <w:tr w:rsidR="00A85CF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A85CF2" w:rsidRDefault="00A85CF2">
            <w:pPr>
              <w:pStyle w:val="ConsPlusNormal"/>
            </w:pPr>
          </w:p>
        </w:tc>
        <w:tc>
          <w:tcPr>
            <w:tcW w:w="7597" w:type="dxa"/>
            <w:tcBorders>
              <w:top w:val="nil"/>
            </w:tcBorders>
          </w:tcPr>
          <w:p w:rsidR="00A85CF2" w:rsidRDefault="00AA61DF">
            <w:pPr>
              <w:pStyle w:val="ConsPlusNormal"/>
            </w:pPr>
            <w:r>
              <w:t>- строительства (реконструкции)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0,5</w:t>
            </w:r>
          </w:p>
        </w:tc>
      </w:tr>
    </w:tbl>
    <w:p w:rsidR="00A85CF2" w:rsidRDefault="00A85CF2">
      <w:pPr>
        <w:pStyle w:val="ConsPlusNormal"/>
        <w:jc w:val="both"/>
      </w:pPr>
    </w:p>
    <w:p w:rsidR="00A85CF2" w:rsidRDefault="00AA61DF">
      <w:pPr>
        <w:pStyle w:val="ConsPlusNormal"/>
        <w:ind w:firstLine="540"/>
        <w:jc w:val="both"/>
      </w:pPr>
      <w:r>
        <w:t>14.2. Соответствие приоритетам социально-экономического развития Мурманской области, закрепленным в нормативных правовых актах Мурманской области, - К</w:t>
      </w:r>
      <w:proofErr w:type="gramStart"/>
      <w:r>
        <w:t>2</w:t>
      </w:r>
      <w:proofErr w:type="gramEnd"/>
      <w:r>
        <w:t>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Определяется социально-экономической значимостью. Оценивается проблемное поле, решаемое с помощью реализации данного мероприятия.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lastRenderedPageBreak/>
        <w:t>Определяется путем суммирования баллов исходя из соответствия объекта следующим критериям (за каждое соответствие - 1 балл):</w:t>
      </w:r>
    </w:p>
    <w:p w:rsidR="00A85CF2" w:rsidRDefault="00A85CF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7597"/>
        <w:gridCol w:w="850"/>
      </w:tblGrid>
      <w:tr w:rsidR="00A85CF2">
        <w:tc>
          <w:tcPr>
            <w:tcW w:w="567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Критерий</w:t>
            </w:r>
          </w:p>
        </w:tc>
        <w:tc>
          <w:tcPr>
            <w:tcW w:w="850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Баллы</w:t>
            </w:r>
          </w:p>
        </w:tc>
      </w:tr>
      <w:tr w:rsidR="00A85CF2">
        <w:tc>
          <w:tcPr>
            <w:tcW w:w="567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597" w:type="dxa"/>
          </w:tcPr>
          <w:p w:rsidR="00A85CF2" w:rsidRDefault="00AA61DF">
            <w:pPr>
              <w:pStyle w:val="ConsPlusNormal"/>
            </w:pPr>
            <w:r>
              <w:t>Мероприятие направлено на улучшение транспортного состояния подъездов к производственным и перерабатывающим предприятиям промышленного и сельскохозяйственного назначения и (или) основной (центральной) улицы моногородов</w:t>
            </w:r>
          </w:p>
        </w:tc>
        <w:tc>
          <w:tcPr>
            <w:tcW w:w="850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1</w:t>
            </w:r>
          </w:p>
        </w:tc>
      </w:tr>
      <w:tr w:rsidR="00A85CF2">
        <w:tc>
          <w:tcPr>
            <w:tcW w:w="567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597" w:type="dxa"/>
          </w:tcPr>
          <w:p w:rsidR="00A85CF2" w:rsidRDefault="00AA61DF">
            <w:pPr>
              <w:pStyle w:val="ConsPlusNormal"/>
            </w:pPr>
            <w:r>
              <w:t xml:space="preserve">Реализация мероприятия предусмотрена в муниципальном образовании, на территории которого в рамках Плана мероприятий по приоритетным направлениям развития Мурманской области до 2025 года и на период до 2030 года "НА СЕВЕРЕ - ЖИТЬ" предусмотрены мероприятия </w:t>
            </w:r>
            <w:r>
              <w:t>по реализации инфраструктурных объектов</w:t>
            </w:r>
          </w:p>
        </w:tc>
        <w:tc>
          <w:tcPr>
            <w:tcW w:w="850" w:type="dxa"/>
            <w:vAlign w:val="center"/>
          </w:tcPr>
          <w:p w:rsidR="00A85CF2" w:rsidRDefault="00AA61DF">
            <w:pPr>
              <w:pStyle w:val="ConsPlusNormal"/>
              <w:jc w:val="center"/>
            </w:pPr>
            <w:r>
              <w:t>1</w:t>
            </w:r>
          </w:p>
        </w:tc>
      </w:tr>
    </w:tbl>
    <w:p w:rsidR="00A85CF2" w:rsidRDefault="00A85CF2">
      <w:pPr>
        <w:pStyle w:val="ConsPlusNormal"/>
        <w:jc w:val="both"/>
      </w:pPr>
    </w:p>
    <w:p w:rsidR="00A85CF2" w:rsidRDefault="00AA61DF">
      <w:pPr>
        <w:pStyle w:val="ConsPlusNormal"/>
        <w:ind w:firstLine="540"/>
        <w:jc w:val="both"/>
      </w:pPr>
      <w:r>
        <w:t xml:space="preserve">14.3. Объем участия муниципального образования Мурманской области в </w:t>
      </w:r>
      <w:proofErr w:type="spellStart"/>
      <w:r>
        <w:t>софинансировании</w:t>
      </w:r>
      <w:proofErr w:type="spellEnd"/>
      <w:r>
        <w:t xml:space="preserve"> объекта - К3.</w:t>
      </w:r>
    </w:p>
    <w:p w:rsidR="00A85CF2" w:rsidRDefault="00AA61DF">
      <w:pPr>
        <w:pStyle w:val="ConsPlusNormal"/>
        <w:spacing w:before="240"/>
        <w:ind w:firstLine="540"/>
        <w:jc w:val="both"/>
      </w:pPr>
      <w:bookmarkStart w:id="6" w:name="P110"/>
      <w:bookmarkEnd w:id="6"/>
      <w:r>
        <w:t xml:space="preserve">Оценивается доля участия муниципального образования Мурманской области в </w:t>
      </w:r>
      <w:proofErr w:type="spellStart"/>
      <w:r>
        <w:t>софинансировании</w:t>
      </w:r>
      <w:proofErr w:type="spellEnd"/>
      <w:r>
        <w:t xml:space="preserve"> объекта. В случае если </w:t>
      </w:r>
      <w:r>
        <w:t xml:space="preserve">доля </w:t>
      </w:r>
      <w:proofErr w:type="spellStart"/>
      <w:r>
        <w:t>софинансирования</w:t>
      </w:r>
      <w:proofErr w:type="spellEnd"/>
      <w:r>
        <w:t xml:space="preserve"> муниципального образования Мурманской области составляет менее 1 %, то баллы не присваиваются.</w:t>
      </w:r>
    </w:p>
    <w:p w:rsidR="00A85CF2" w:rsidRDefault="00AA61DF">
      <w:pPr>
        <w:pStyle w:val="ConsPlusNormal"/>
        <w:spacing w:before="240"/>
        <w:ind w:firstLine="540"/>
        <w:jc w:val="both"/>
      </w:pPr>
      <w:bookmarkStart w:id="7" w:name="P111"/>
      <w:bookmarkEnd w:id="7"/>
      <w:r>
        <w:t xml:space="preserve">Баллы присваиваются за превышение доли </w:t>
      </w:r>
      <w:proofErr w:type="spellStart"/>
      <w:r>
        <w:t>софинансирования</w:t>
      </w:r>
      <w:proofErr w:type="spellEnd"/>
      <w:r>
        <w:t xml:space="preserve"> 1 % для муниципальных образований с численностью населения от 10000 человек - за ка</w:t>
      </w:r>
      <w:r>
        <w:t>ждый 1 % превышения присваивается 0,1 балла, для муниципальных образований с численностью населения до 10000 человек включительно за каждый 1 % превышения присваивается 0,5 балла.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В случае превышения доли </w:t>
      </w:r>
      <w:proofErr w:type="spellStart"/>
      <w:r>
        <w:t>софинансирования</w:t>
      </w:r>
      <w:proofErr w:type="spellEnd"/>
      <w:r>
        <w:t xml:space="preserve"> 1 % за счет привлечения внебюджетн</w:t>
      </w:r>
      <w:r>
        <w:t>ых средств (частные инвестиции):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- для муниципальных образований с численностью населения от 10000 человек за каждый 1 % превышения присваивается 0,2 балла;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- для муниципальных образований с численностью населения до 10000 человек включительно за каждый 1 </w:t>
      </w:r>
      <w:r>
        <w:t>% превышения присваивается 1 балл.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Объем участия муниципального образования Мурманской области в </w:t>
      </w:r>
      <w:proofErr w:type="spellStart"/>
      <w:r>
        <w:t>софинансировании</w:t>
      </w:r>
      <w:proofErr w:type="spellEnd"/>
      <w:r>
        <w:t xml:space="preserve"> объекта (К3) определяется как сумма присвоенных баллов в соответствии с </w:t>
      </w:r>
      <w:hyperlink w:anchor="P110" w:tooltip="Оценивается доля участия муниципального образования Мурманской области в софинансировании объекта. В случае если доля софинансирования муниципального образования Мурманской области составляет менее 1 %, то баллы не присваиваются.">
        <w:r>
          <w:rPr>
            <w:color w:val="0000FF"/>
          </w:rPr>
          <w:t>абзацами вторым</w:t>
        </w:r>
      </w:hyperlink>
      <w:r>
        <w:t xml:space="preserve"> и </w:t>
      </w:r>
      <w:hyperlink w:anchor="P111" w:tooltip="Баллы присваиваются за превышение доли софинансирования 1 % для муниципальных образований с численностью населения от 10000 человек - за каждый 1 % превышения присваивается 0,1 балла, для муниципальных образований с численностью населения до 10000 человек вклю">
        <w:r>
          <w:rPr>
            <w:color w:val="0000FF"/>
          </w:rPr>
          <w:t>третьим</w:t>
        </w:r>
      </w:hyperlink>
      <w:r>
        <w:t xml:space="preserve"> н</w:t>
      </w:r>
      <w:r>
        <w:t>астоящего пункта.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15. Решение о предоставлении иных межбюджетных трансфертов принимается по итогам оценки конкурсных заявок муниципальных образований и ранжирования победителей в соответствии с </w:t>
      </w:r>
      <w:hyperlink w:anchor="P47" w:tooltip="13. В целях определения победителей конкурса проводится балльная оценка по ниже перечисленным критериям отбора. Приоритетность и итоговый балл определяются по величине коэффициента:">
        <w:r>
          <w:rPr>
            <w:color w:val="0000FF"/>
          </w:rPr>
          <w:t>пунктами 13</w:t>
        </w:r>
      </w:hyperlink>
      <w:r>
        <w:t xml:space="preserve">, </w:t>
      </w:r>
      <w:hyperlink w:anchor="P58" w:tooltip="14. Определение и расчет коэффициентов.">
        <w:r>
          <w:rPr>
            <w:color w:val="0000FF"/>
          </w:rPr>
          <w:t>14</w:t>
        </w:r>
      </w:hyperlink>
      <w:r>
        <w:t xml:space="preserve"> настоящих Правил.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Распределение иных межбюджетных трансфертов осуществляется согласно ранжированию из расчета фактической заявленной потребности муниципальных образований по остаточному принципу в рамках предусмотренного лимита бюджетных ассигнований текущего финансового го</w:t>
      </w:r>
      <w:r>
        <w:t>да.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lastRenderedPageBreak/>
        <w:t>16. Показателем результативности использования иных межбюджетных трансфертов является наличие проектной документации, получившей положительное заключение государственной экспертизы.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Министерство осуществляет оценку результативности использования иных м</w:t>
      </w:r>
      <w:r>
        <w:t xml:space="preserve">ежбюджетных трансфертов на основании </w:t>
      </w:r>
      <w:proofErr w:type="gramStart"/>
      <w:r>
        <w:t>сравнения значения показателя результативности использования иных межбюджетных</w:t>
      </w:r>
      <w:proofErr w:type="gramEnd"/>
      <w:r>
        <w:t xml:space="preserve"> трансфертов, установленного соглашением, и фактически достигнутого по итогам отчетного года значения показателя результативности использован</w:t>
      </w:r>
      <w:r>
        <w:t>ия иных межбюджетных трансфертов.</w:t>
      </w:r>
    </w:p>
    <w:p w:rsidR="00A85CF2" w:rsidRDefault="00AA61DF">
      <w:pPr>
        <w:pStyle w:val="ConsPlusNormal"/>
        <w:spacing w:before="240"/>
        <w:ind w:firstLine="540"/>
        <w:jc w:val="both"/>
      </w:pPr>
      <w:bookmarkStart w:id="8" w:name="P120"/>
      <w:bookmarkEnd w:id="8"/>
      <w:r>
        <w:t>17. Муниципальные образования представляют в Министерство следующую отчетность:</w:t>
      </w:r>
    </w:p>
    <w:p w:rsidR="00A85CF2" w:rsidRDefault="00AA61DF">
      <w:pPr>
        <w:pStyle w:val="ConsPlusNormal"/>
        <w:spacing w:before="240"/>
        <w:ind w:firstLine="540"/>
        <w:jc w:val="both"/>
      </w:pPr>
      <w:proofErr w:type="gramStart"/>
      <w:r>
        <w:t xml:space="preserve">- о расходах бюджета муниципального образования, в целях </w:t>
      </w:r>
      <w:proofErr w:type="spellStart"/>
      <w:r>
        <w:t>софинансирования</w:t>
      </w:r>
      <w:proofErr w:type="spellEnd"/>
      <w:r>
        <w:t xml:space="preserve"> которых предоставляется иной межбюджетный трансферт, - ежемесячно, н</w:t>
      </w:r>
      <w:r>
        <w:t>е позднее 5-го рабочего дня месяца, следующего за отчетным, в котором был получен иной межбюджетный трансферт, по форме, утвержденной Министерством;</w:t>
      </w:r>
      <w:proofErr w:type="gramEnd"/>
    </w:p>
    <w:p w:rsidR="00A85CF2" w:rsidRDefault="00AA61DF">
      <w:pPr>
        <w:pStyle w:val="ConsPlusNormal"/>
        <w:spacing w:before="240"/>
        <w:ind w:firstLine="540"/>
        <w:jc w:val="both"/>
      </w:pPr>
      <w:proofErr w:type="gramStart"/>
      <w:r>
        <w:t>- о достижении муниципальным образованием значений показателей результативности использования иного межбюдж</w:t>
      </w:r>
      <w:r>
        <w:t>етного трансферта в срок: ежемесячные отчеты не позднее 5-го рабочего дня месяца, следующего за отчетным периодом; ежегодные отчеты - не позднее 5 рабочих дней месяца, следующего за отчетным периодом; ежегодные уточненные отчеты - не позднее 10 февраля год</w:t>
      </w:r>
      <w:r>
        <w:t>а, следующего за отчетным, по форме, утвержденной соглашением.</w:t>
      </w:r>
      <w:proofErr w:type="gramEnd"/>
    </w:p>
    <w:p w:rsidR="00A85CF2" w:rsidRDefault="00AA61DF">
      <w:pPr>
        <w:pStyle w:val="ConsPlusNormal"/>
        <w:spacing w:before="240"/>
        <w:ind w:firstLine="540"/>
        <w:jc w:val="both"/>
      </w:pPr>
      <w:r>
        <w:t>18. В соответствии с протоколом рассмотрения конкурсных заявок и принятым решением с победителями конкурсного отбора заключаются соглашения.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19. Соглашение о предоставлении иных межбюджетных тр</w:t>
      </w:r>
      <w:r>
        <w:t>ансфертов из областного бюджета местному бюджету должно содержать положения, предусмотренные приказом Министерства финансов Мурманской области от 22.12.2021 N 143Н "Об утверждении Типовой формы соглашения о предоставлении иного межбюджетного трансферта, им</w:t>
      </w:r>
      <w:r>
        <w:t>еющего целевое назначение, из областного бюджета бюджету муниципального образования".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Соглашение заключается в соответствии с типовой формой, утвержденной Министерством финансов Мурманской области.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Предоставление иных межбюджетных трансфертов осуществляетс</w:t>
      </w:r>
      <w:r>
        <w:t>я на основании соглашения, подготавливаемого (формируемого) и заключаемого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 (далее - программный комплекс).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Представление отчетности, предусмотренной </w:t>
      </w:r>
      <w:hyperlink w:anchor="P120" w:tooltip="17. Муниципальные образования представляют в Министерство следующую отчетность:">
        <w:r>
          <w:rPr>
            <w:color w:val="0000FF"/>
          </w:rPr>
          <w:t>пунктом 17</w:t>
        </w:r>
      </w:hyperlink>
      <w:r>
        <w:t xml:space="preserve"> настоящих Правил, осуществляется посредством программного комплекса.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20. </w:t>
      </w:r>
      <w:proofErr w:type="gramStart"/>
      <w:r>
        <w:t>Перечисление иных межбюджетных трансфертов осуществляется в пределах суммы, необходимой дл</w:t>
      </w:r>
      <w:r>
        <w:t>я оплаты денежных обязательств по расходам получателей средств местного бюджета, источником финансового обеспечения которых являются иные межбюджетные трансферты из областного бюджета (далее - под фактическую потребность), в пределах лимитов бюджетных обяз</w:t>
      </w:r>
      <w:r>
        <w:t>ательств и предельных объемов финансирования, доведенных в установленном порядке Министерству на указанные цели.</w:t>
      </w:r>
      <w:proofErr w:type="gramEnd"/>
    </w:p>
    <w:p w:rsidR="00A85CF2" w:rsidRDefault="00AA61DF">
      <w:pPr>
        <w:pStyle w:val="ConsPlusNormal"/>
        <w:spacing w:before="240"/>
        <w:ind w:firstLine="540"/>
        <w:jc w:val="both"/>
      </w:pPr>
      <w:r>
        <w:t>Перечисление иных межбюджетных трансфертов под фактическую потребность осуществляется Управлением Федерального казначейства по Мурманской облас</w:t>
      </w:r>
      <w:r>
        <w:t xml:space="preserve">ти при оплате денежных обязательств получателя средств местного бюджета на единый счет местного бюджета, </w:t>
      </w:r>
      <w:r>
        <w:lastRenderedPageBreak/>
        <w:t>открытый финансовому органу муниципального образования, с отражением соответствующих операций на лицевом счете администраторов доходов бюджета, в поряд</w:t>
      </w:r>
      <w:r>
        <w:t>ке, установленном Федеральным казначейством.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21. В случае нецелевого использования иных межбюджетных трансфертов применяются бюджетные меры принуждения, предусмотренные бюджетным законодательством Российской Федерации.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22. При применении мер принуждения, предусмотренных бюджетным законодательством Российской Федерации, ответственность за несвоевременное завершение работ несет муниципальное образование.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23. В случае если муниципальным образованием по состоянию на 31 декаб</w:t>
      </w:r>
      <w:r>
        <w:t>ря отчетного года не достигнуты установленные соглашением показатели результативности использования иных межбюджетных трансфертов, до 1 июня года, следующего за годом предоставления иных межбюджетных трансфертов, из бюджета муниципального образования в бюд</w:t>
      </w:r>
      <w:r>
        <w:t xml:space="preserve">жет Мурманской области подлежат возврату средства в размере </w:t>
      </w:r>
      <w:proofErr w:type="spellStart"/>
      <w:proofErr w:type="gramStart"/>
      <w:r>
        <w:t>V</w:t>
      </w:r>
      <w:proofErr w:type="gramEnd"/>
      <w:r>
        <w:t>возврата</w:t>
      </w:r>
      <w:proofErr w:type="spellEnd"/>
      <w:r>
        <w:t>, определяемого по формуле:</w:t>
      </w:r>
    </w:p>
    <w:p w:rsidR="00A85CF2" w:rsidRDefault="00A85CF2">
      <w:pPr>
        <w:pStyle w:val="ConsPlusNormal"/>
        <w:jc w:val="both"/>
      </w:pPr>
    </w:p>
    <w:p w:rsidR="00A85CF2" w:rsidRDefault="00AA61DF">
      <w:pPr>
        <w:pStyle w:val="ConsPlusNormal"/>
        <w:ind w:firstLine="540"/>
        <w:jc w:val="both"/>
      </w:pPr>
      <w:proofErr w:type="spellStart"/>
      <w:proofErr w:type="gramStart"/>
      <w:r>
        <w:t>V</w:t>
      </w:r>
      <w:proofErr w:type="gramEnd"/>
      <w:r>
        <w:t>возврата</w:t>
      </w:r>
      <w:proofErr w:type="spellEnd"/>
      <w:r>
        <w:t xml:space="preserve"> = </w:t>
      </w:r>
      <w:proofErr w:type="spellStart"/>
      <w:r>
        <w:t>Vтрансфертов</w:t>
      </w:r>
      <w:proofErr w:type="spellEnd"/>
      <w:r>
        <w:t xml:space="preserve"> x D x 0,1, где:</w:t>
      </w:r>
    </w:p>
    <w:p w:rsidR="00A85CF2" w:rsidRDefault="00A85CF2">
      <w:pPr>
        <w:pStyle w:val="ConsPlusNormal"/>
        <w:jc w:val="both"/>
      </w:pPr>
    </w:p>
    <w:p w:rsidR="00A85CF2" w:rsidRDefault="00AA61DF">
      <w:pPr>
        <w:pStyle w:val="ConsPlusNormal"/>
        <w:ind w:firstLine="540"/>
        <w:jc w:val="both"/>
      </w:pPr>
      <w:proofErr w:type="spellStart"/>
      <w:proofErr w:type="gramStart"/>
      <w:r>
        <w:t>V</w:t>
      </w:r>
      <w:proofErr w:type="gramEnd"/>
      <w:r>
        <w:t>трансфертов</w:t>
      </w:r>
      <w:proofErr w:type="spellEnd"/>
      <w:r>
        <w:t xml:space="preserve"> - размер иных межбюджетных трансфертов, предоставленных муниципальному образованию в отчетном финансово</w:t>
      </w:r>
      <w:r>
        <w:t>м году.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При расчете объема средств, подлежащих возврату из местного бюджета в областной бюджет, в размере иных межбюджетных трансфертов, предоставленных муниципальному образованию в отчетном финансовом году (</w:t>
      </w:r>
      <w:proofErr w:type="spellStart"/>
      <w:proofErr w:type="gramStart"/>
      <w:r>
        <w:t>V</w:t>
      </w:r>
      <w:proofErr w:type="gramEnd"/>
      <w:r>
        <w:t>трансфертов</w:t>
      </w:r>
      <w:proofErr w:type="spellEnd"/>
      <w:r>
        <w:t>), не учитывается размер остатка ины</w:t>
      </w:r>
      <w:r>
        <w:t>х межбюджетных трансфертов, не использованных по состоянию на 1 января текущего финансового года;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D - индекс, отражающий уровень </w:t>
      </w:r>
      <w:proofErr w:type="spellStart"/>
      <w:r>
        <w:t>недостижения</w:t>
      </w:r>
      <w:proofErr w:type="spellEnd"/>
      <w:r>
        <w:t xml:space="preserve"> показателя результативности использования иных межбюджетных трансфертов.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Индекс, отражающий уровень </w:t>
      </w:r>
      <w:proofErr w:type="spellStart"/>
      <w:r>
        <w:t>недостижения</w:t>
      </w:r>
      <w:proofErr w:type="spellEnd"/>
      <w:r>
        <w:t xml:space="preserve"> п</w:t>
      </w:r>
      <w:r>
        <w:t>оказателя результативности использования иных межбюджетных трансфертов, определяется по формуле:</w:t>
      </w:r>
    </w:p>
    <w:p w:rsidR="00A85CF2" w:rsidRDefault="00A85CF2">
      <w:pPr>
        <w:pStyle w:val="ConsPlusNormal"/>
        <w:jc w:val="both"/>
      </w:pPr>
    </w:p>
    <w:p w:rsidR="00A85CF2" w:rsidRDefault="00AA61DF">
      <w:pPr>
        <w:pStyle w:val="ConsPlusNormal"/>
        <w:ind w:firstLine="540"/>
        <w:jc w:val="both"/>
      </w:pPr>
      <w:r>
        <w:t>D = 1 - T / S, где:</w:t>
      </w:r>
    </w:p>
    <w:p w:rsidR="00A85CF2" w:rsidRDefault="00A85CF2">
      <w:pPr>
        <w:pStyle w:val="ConsPlusNormal"/>
        <w:jc w:val="both"/>
      </w:pPr>
    </w:p>
    <w:p w:rsidR="00A85CF2" w:rsidRDefault="00AA61DF">
      <w:pPr>
        <w:pStyle w:val="ConsPlusNormal"/>
        <w:ind w:firstLine="540"/>
        <w:jc w:val="both"/>
      </w:pPr>
      <w:r>
        <w:t>T - фактически достигнутое значение показателя результативности использования иных межбюджетных трансфертов на отчетную дату;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S - плановое значение показателя результативности использования иных межбюджетных трансфертов, установленное соглашением.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24. Не использованный на 1 января текущего финансового года остаток иных межбюджетных трансфертов подлежит возврату в доход областного</w:t>
      </w:r>
      <w:r>
        <w:t xml:space="preserve"> бюджета.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В случае если неиспользованный остаток иных межбюджетных трансфертов не перечислен в доход областного бюджета, указанные средства подлежат взысканию в доход областного бюджета в порядке, установленном Министерством финансов Мурманской области.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25</w:t>
      </w:r>
      <w:r>
        <w:t xml:space="preserve">. </w:t>
      </w:r>
      <w:proofErr w:type="gramStart"/>
      <w:r>
        <w:t xml:space="preserve">В соответствии с решением главного распорядителя средств областного бюджета о </w:t>
      </w:r>
      <w:r>
        <w:lastRenderedPageBreak/>
        <w:t>наличии потребности в иных межбюджетных трансфертах, не использованных в отчетном финансовом году, согласованным с Министерством финансов Мурманской области, средства в объеме,</w:t>
      </w:r>
      <w:r>
        <w:t xml:space="preserve"> не превышающем остатка иных межбюджетных трансфертов,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</w:t>
      </w:r>
      <w:proofErr w:type="gramEnd"/>
      <w:r>
        <w:t xml:space="preserve"> указанных иных</w:t>
      </w:r>
      <w:r>
        <w:t xml:space="preserve"> межбюджетных трансфертов.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26. Потребность в неиспользованных остатках иных межбюджетных трансфертов, перечисление которых осуществлялось в отчетном финансовом году под фактическую потребность на цели, указанные в </w:t>
      </w:r>
      <w:hyperlink w:anchor="P13" w:tooltip="3. Иные межбюджетные трансферты предоставляются в целях софинансирования расходных обязательств муниципальных образований на разработку проектной документации по строительству, реконструкции и капитальному ремонту автомобильных дорог общего пользования местног">
        <w:r>
          <w:rPr>
            <w:color w:val="0000FF"/>
          </w:rPr>
          <w:t>пункте</w:t>
        </w:r>
        <w:r>
          <w:rPr>
            <w:color w:val="0000FF"/>
          </w:rPr>
          <w:t xml:space="preserve"> 3</w:t>
        </w:r>
      </w:hyperlink>
      <w:r>
        <w:t xml:space="preserve"> настоящих Правил, определяется в текущем финансовом году в соответствии с решением Министерства.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Основными условиями принятия решения об установлении потребности муниципального образования в неиспользованных остатках бюджетных ассигнований являются закл</w:t>
      </w:r>
      <w:r>
        <w:t>юченные в отчетном году муниципальные контракты (договоры) на поставку товаров, выполнение работ, оказание услуг, подлежащие в соответствии с условиями этих муниципальных контрактов (договоров) оплате в отчетном году.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>27. Основанием для перечисления иных м</w:t>
      </w:r>
      <w:r>
        <w:t>ежбюджетных трансфертов являются заявки по форме, установленной соглашением, подтвержденные актами выполненных работ с приложением копий контрактов (гражданско-правовых договоров) на выполнение работ.</w:t>
      </w:r>
    </w:p>
    <w:p w:rsidR="00A85CF2" w:rsidRDefault="00AA61DF">
      <w:pPr>
        <w:pStyle w:val="ConsPlusNormal"/>
        <w:spacing w:before="240"/>
        <w:ind w:firstLine="540"/>
        <w:jc w:val="both"/>
      </w:pPr>
      <w:proofErr w:type="gramStart"/>
      <w:r>
        <w:t>В случае предоставления авансовых платежей основанием д</w:t>
      </w:r>
      <w:r>
        <w:t>ля перечисления иных межбюджетных трансфертов являются заявки по форме, установленной соглашением, с предоставлением копий счетов на оплату авансовых платежей с приложением копий контрактов (гражданско-правовых договоров) на выполнение работ, с последующим</w:t>
      </w:r>
      <w:r>
        <w:t xml:space="preserve"> предоставлением документов, подтверждающих выполнение работ за счет авансовых платежей.</w:t>
      </w:r>
      <w:proofErr w:type="gramEnd"/>
    </w:p>
    <w:p w:rsidR="00A85CF2" w:rsidRDefault="00AA61DF">
      <w:pPr>
        <w:pStyle w:val="ConsPlusNormal"/>
        <w:spacing w:before="240"/>
        <w:ind w:firstLine="540"/>
        <w:jc w:val="both"/>
      </w:pPr>
      <w:r>
        <w:t>28. В случае образования экономии бюджетных средств, в том числе в рамках проведенных конкурентных процедур, в соглашение вносятся соответствующие изменения путем закл</w:t>
      </w:r>
      <w:r>
        <w:t>ючения дополнительного соглашения на уменьшение размера предоставленных иных межбюджетных трансфертов.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Министерство вправе принимать решение о целесообразности проведения дополнительного конкурсного отбора муниципальных образований для предоставления иных </w:t>
      </w:r>
      <w:r>
        <w:t>межбюджетных трансфертов в соответствии с положениями настоящих Правил.</w:t>
      </w:r>
    </w:p>
    <w:p w:rsidR="00A85CF2" w:rsidRDefault="00AA61DF">
      <w:pPr>
        <w:pStyle w:val="ConsPlusNormal"/>
        <w:spacing w:before="240"/>
        <w:ind w:firstLine="540"/>
        <w:jc w:val="both"/>
      </w:pPr>
      <w:r>
        <w:t xml:space="preserve">29. </w:t>
      </w:r>
      <w:proofErr w:type="gramStart"/>
      <w:r>
        <w:t>Контроль за</w:t>
      </w:r>
      <w:proofErr w:type="gramEnd"/>
      <w:r>
        <w:t xml:space="preserve"> соблюдением получателями иных межбюджетных трансфертов условий, целей и порядка, установленных при их предоставлении, осуществляется Министерством и органами государств</w:t>
      </w:r>
      <w:r>
        <w:t>енного финансового контроля Мурманской области.</w:t>
      </w:r>
    </w:p>
    <w:p w:rsidR="00A85CF2" w:rsidRDefault="00AA61DF">
      <w:pPr>
        <w:pStyle w:val="ConsPlusNormal"/>
      </w:pPr>
      <w:r>
        <w:rPr>
          <w:i/>
        </w:rPr>
        <w:br/>
        <w:t>Постановление Правительства Мурманской области от 13.08.2021 N 564-ПП (ред. от 05.09.2025) "Об утверждении государственной программы Мурманской области "Транспортная система" и внесении изменений в государст</w:t>
      </w:r>
      <w:r>
        <w:rPr>
          <w:i/>
        </w:rPr>
        <w:t>венную программу Мурманской области "Развитие транспортной системы"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A85CF2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CF2"/>
    <w:rsid w:val="000F2EB9"/>
    <w:rsid w:val="00A85CF2"/>
    <w:rsid w:val="00AA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Normal (Web)"/>
    <w:basedOn w:val="a"/>
    <w:uiPriority w:val="99"/>
    <w:semiHidden/>
    <w:unhideWhenUsed/>
    <w:rsid w:val="00AA61D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Normal (Web)"/>
    <w:basedOn w:val="a"/>
    <w:uiPriority w:val="99"/>
    <w:semiHidden/>
    <w:unhideWhenUsed/>
    <w:rsid w:val="00AA61D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0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3742</Words>
  <Characters>21331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13.08.2021 N 564-ПП
(ред. от 05.09.2025)
"Об утверждении государственной программы Мурманской области "Транспортная система" и внесении изменений в государственную программу Мурманской области "Развитие тр</vt:lpstr>
    </vt:vector>
  </TitlesOfParts>
  <Company>КонсультантПлюс Версия 4024.00.50</Company>
  <LinksUpToDate>false</LinksUpToDate>
  <CharactersWithSpaces>25023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13.08.2021 N 564-ПП
(ред. от 05.09.2025)
"Об утверждении государственной программы Мурманской области "Транспортная система" и внесении изменений в государственную программу Мурманской области "Развитие транспортной системы"</dc:title>
  <dc:creator>Михайлова В.Ю.</dc:creator>
  <cp:lastModifiedBy>Михайлова В.Ю.</cp:lastModifiedBy>
  <cp:revision>3</cp:revision>
  <dcterms:created xsi:type="dcterms:W3CDTF">2025-10-02T11:49:00Z</dcterms:created>
  <dcterms:modified xsi:type="dcterms:W3CDTF">2025-10-02T11:50:00Z</dcterms:modified>
</cp:coreProperties>
</file>